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C8F" w:rsidRPr="0070359B" w:rsidRDefault="007E3D40" w:rsidP="007E3D40">
      <w:pPr>
        <w:jc w:val="center"/>
        <w:rPr>
          <w:b/>
        </w:rPr>
      </w:pPr>
      <w:r w:rsidRPr="0070359B">
        <w:rPr>
          <w:b/>
        </w:rPr>
        <w:t>Vermont Fair Credit Reporting Statu</w:t>
      </w:r>
      <w:r w:rsidR="00AC3639">
        <w:rPr>
          <w:b/>
        </w:rPr>
        <w:t>t</w:t>
      </w:r>
      <w:r w:rsidRPr="0070359B">
        <w:rPr>
          <w:b/>
        </w:rPr>
        <w:t>e, 9 V.S.A. § 2480e (1999)</w:t>
      </w:r>
    </w:p>
    <w:p w:rsidR="007E3D40" w:rsidRPr="007E3D40" w:rsidRDefault="007E3D40" w:rsidP="0070359B">
      <w:pPr>
        <w:spacing w:after="0"/>
        <w:rPr>
          <w:rFonts w:eastAsiaTheme="minorEastAsia"/>
          <w:b/>
        </w:rPr>
      </w:pPr>
      <m:oMath>
        <m:r>
          <m:rPr>
            <m:sty m:val="b"/>
          </m:rPr>
          <w:rPr>
            <w:rFonts w:ascii="Cambria Math" w:hAnsi="Cambria Math"/>
          </w:rPr>
          <m:t>§</m:t>
        </m:r>
      </m:oMath>
      <w:r w:rsidRPr="007E3D40">
        <w:rPr>
          <w:rFonts w:eastAsiaTheme="minorEastAsia"/>
          <w:b/>
        </w:rPr>
        <w:t xml:space="preserve"> 2480e. Consumer consent</w:t>
      </w:r>
    </w:p>
    <w:p w:rsidR="00B81A41" w:rsidRDefault="00B81A41" w:rsidP="00B81A41">
      <w:pPr>
        <w:pStyle w:val="ListParagraph"/>
        <w:numPr>
          <w:ilvl w:val="0"/>
          <w:numId w:val="2"/>
        </w:numPr>
      </w:pPr>
      <w:r>
        <w:t>A person shall not obtain the credit report of a consumer unless:</w:t>
      </w:r>
    </w:p>
    <w:p w:rsidR="00B81A41" w:rsidRDefault="00B81A41" w:rsidP="00B81A41">
      <w:pPr>
        <w:pStyle w:val="ListParagraph"/>
        <w:numPr>
          <w:ilvl w:val="1"/>
          <w:numId w:val="2"/>
        </w:numPr>
      </w:pPr>
      <w:r>
        <w:t>The report is obtained in response to the order of a court having jurisdiction to issue such an order; or</w:t>
      </w:r>
    </w:p>
    <w:p w:rsidR="00B81A41" w:rsidRDefault="00B81A41" w:rsidP="00B81A41">
      <w:pPr>
        <w:pStyle w:val="ListParagraph"/>
        <w:numPr>
          <w:ilvl w:val="1"/>
          <w:numId w:val="2"/>
        </w:numPr>
      </w:pPr>
      <w:r>
        <w:t>The person has secured the consent of the consumer, and the report is used for the purpose consented to by the consumer.</w:t>
      </w:r>
    </w:p>
    <w:p w:rsidR="00B81A41" w:rsidRDefault="00B81A41" w:rsidP="00B81A41">
      <w:pPr>
        <w:pStyle w:val="ListParagraph"/>
        <w:numPr>
          <w:ilvl w:val="0"/>
          <w:numId w:val="2"/>
        </w:numPr>
      </w:pPr>
      <w:r>
        <w:t>Credit reporting agencies shall adopt reasonable procedures to assure maximum possible compliance with subsection (a) of this section.</w:t>
      </w:r>
    </w:p>
    <w:p w:rsidR="00B81A41" w:rsidRDefault="00B81A41" w:rsidP="00B81A41">
      <w:pPr>
        <w:pStyle w:val="ListParagraph"/>
        <w:numPr>
          <w:ilvl w:val="0"/>
          <w:numId w:val="2"/>
        </w:numPr>
      </w:pPr>
      <w:r>
        <w:t>Nothing in this section shall be construed to affect;</w:t>
      </w:r>
    </w:p>
    <w:p w:rsidR="00B81A41" w:rsidRDefault="00B81A41" w:rsidP="00B81A41">
      <w:pPr>
        <w:pStyle w:val="ListParagraph"/>
        <w:numPr>
          <w:ilvl w:val="1"/>
          <w:numId w:val="2"/>
        </w:numPr>
      </w:pPr>
      <w:r>
        <w:t>The ability of a person who has secured the consent of the consumer pursuant to subdivision (a) (2) of this section to include in his or her request to the consumer permission to also obtain credit reports, in connection with the same transaction or extension of credit, for the purpose of reviewing the account, increasing the credit line on the account, for the purpose of taking collection action on the account, or for other legitimate purposes associated with the account; and</w:t>
      </w:r>
    </w:p>
    <w:p w:rsidR="00B81A41" w:rsidRDefault="00B81A41" w:rsidP="00B81A41">
      <w:pPr>
        <w:pStyle w:val="ListParagraph"/>
        <w:numPr>
          <w:ilvl w:val="1"/>
          <w:numId w:val="2"/>
        </w:numPr>
      </w:pPr>
      <w:r>
        <w:t>The use of credit information for the purpose of prescreening, as defined and permitted from time to time by the Federal Trade Commission.</w:t>
      </w:r>
    </w:p>
    <w:p w:rsidR="00B81A41" w:rsidRDefault="00B81A41" w:rsidP="00B81A41">
      <w:pPr>
        <w:pStyle w:val="ListParagraph"/>
      </w:pPr>
    </w:p>
    <w:p w:rsidR="00B81A41" w:rsidRDefault="00B81A41" w:rsidP="00B81A41">
      <w:pPr>
        <w:pStyle w:val="ListParagraph"/>
      </w:pPr>
      <w:r>
        <w:rPr>
          <w:noProof/>
        </w:rPr>
        <mc:AlternateContent>
          <mc:Choice Requires="wps">
            <w:drawing>
              <wp:anchor distT="0" distB="0" distL="114300" distR="114300" simplePos="0" relativeHeight="251659264" behindDoc="0" locked="0" layoutInCell="1" allowOverlap="1">
                <wp:simplePos x="0" y="0"/>
                <wp:positionH relativeFrom="column">
                  <wp:posOffset>116958</wp:posOffset>
                </wp:positionH>
                <wp:positionV relativeFrom="paragraph">
                  <wp:posOffset>170741</wp:posOffset>
                </wp:positionV>
                <wp:extent cx="5794744" cy="0"/>
                <wp:effectExtent l="0" t="0" r="34925" b="19050"/>
                <wp:wrapNone/>
                <wp:docPr id="1" name="Straight Connector 1"/>
                <wp:cNvGraphicFramePr/>
                <a:graphic xmlns:a="http://schemas.openxmlformats.org/drawingml/2006/main">
                  <a:graphicData uri="http://schemas.microsoft.com/office/word/2010/wordprocessingShape">
                    <wps:wsp>
                      <wps:cNvCnPr/>
                      <wps:spPr>
                        <a:xfrm>
                          <a:off x="0" y="0"/>
                          <a:ext cx="57947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D1212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2pt,13.45pt" to="465.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" strokecolor="black [3200]" strokeweight=".5pt">
                <v:stroke joinstyle="miter"/>
              </v:line>
            </w:pict>
          </mc:Fallback>
        </mc:AlternateContent>
      </w:r>
    </w:p>
    <w:p w:rsidR="00B81A41" w:rsidRPr="0070359B" w:rsidRDefault="00B81A41" w:rsidP="00B81A41">
      <w:pPr>
        <w:spacing w:after="0"/>
        <w:jc w:val="center"/>
        <w:rPr>
          <w:b/>
        </w:rPr>
      </w:pPr>
      <w:r w:rsidRPr="0070359B">
        <w:rPr>
          <w:b/>
        </w:rPr>
        <w:t>VERMONT RULES *** CURRENT THROUGH JUNE 1999 ***</w:t>
      </w:r>
    </w:p>
    <w:p w:rsidR="00B81A41" w:rsidRPr="0070359B" w:rsidRDefault="00B81A41" w:rsidP="00B81A41">
      <w:pPr>
        <w:spacing w:after="0"/>
        <w:jc w:val="center"/>
        <w:rPr>
          <w:b/>
        </w:rPr>
      </w:pPr>
      <w:r w:rsidRPr="0070359B">
        <w:rPr>
          <w:b/>
        </w:rPr>
        <w:t>AGENCY 06. OFFICE OF THE ATTORNEY GENERAL</w:t>
      </w:r>
    </w:p>
    <w:p w:rsidR="00B81A41" w:rsidRPr="0070359B" w:rsidRDefault="00B81A41" w:rsidP="00B81A41">
      <w:pPr>
        <w:spacing w:after="0"/>
        <w:jc w:val="center"/>
        <w:rPr>
          <w:b/>
        </w:rPr>
      </w:pPr>
      <w:r w:rsidRPr="0070359B">
        <w:rPr>
          <w:b/>
        </w:rPr>
        <w:t>SUB-AGENCY 031.  CONSUMER PROTECTION DIVISION</w:t>
      </w:r>
    </w:p>
    <w:p w:rsidR="00B81A41" w:rsidRPr="0070359B" w:rsidRDefault="00B81A41" w:rsidP="00B81A41">
      <w:pPr>
        <w:spacing w:after="0"/>
        <w:jc w:val="center"/>
        <w:rPr>
          <w:b/>
        </w:rPr>
      </w:pPr>
      <w:r w:rsidRPr="0070359B">
        <w:rPr>
          <w:b/>
        </w:rPr>
        <w:t>CHAPTER 012.  Consumer Fraud—Fair Credit Reporting</w:t>
      </w:r>
    </w:p>
    <w:p w:rsidR="00B81A41" w:rsidRPr="0070359B" w:rsidRDefault="00B81A41" w:rsidP="00B81A41">
      <w:pPr>
        <w:spacing w:after="0"/>
        <w:jc w:val="center"/>
        <w:rPr>
          <w:b/>
        </w:rPr>
      </w:pPr>
      <w:r w:rsidRPr="0070359B">
        <w:rPr>
          <w:b/>
        </w:rPr>
        <w:t xml:space="preserve">RULE CF 112 FAIR CREDIT REPORTING </w:t>
      </w:r>
    </w:p>
    <w:p w:rsidR="00B81A41" w:rsidRPr="0070359B" w:rsidRDefault="00B81A41" w:rsidP="00B81A41">
      <w:pPr>
        <w:spacing w:after="0"/>
        <w:jc w:val="center"/>
        <w:rPr>
          <w:b/>
        </w:rPr>
      </w:pPr>
      <w:r w:rsidRPr="0070359B">
        <w:rPr>
          <w:b/>
        </w:rPr>
        <w:t>CVR 06-031-012, CF 112.03 (1999)</w:t>
      </w:r>
    </w:p>
    <w:p w:rsidR="00B81A41" w:rsidRPr="0070359B" w:rsidRDefault="00B81A41" w:rsidP="00B81A41">
      <w:pPr>
        <w:spacing w:after="0"/>
        <w:jc w:val="center"/>
        <w:rPr>
          <w:b/>
        </w:rPr>
      </w:pPr>
      <w:r w:rsidRPr="0070359B">
        <w:rPr>
          <w:b/>
        </w:rPr>
        <w:t>CF 112.03 CONSUMER CONSENT</w:t>
      </w:r>
    </w:p>
    <w:p w:rsidR="00B81A41" w:rsidRDefault="00B81A41" w:rsidP="00B81A41">
      <w:pPr>
        <w:spacing w:after="0"/>
        <w:jc w:val="center"/>
        <w:rPr>
          <w:b/>
          <w:sz w:val="24"/>
          <w:szCs w:val="24"/>
        </w:rPr>
      </w:pPr>
    </w:p>
    <w:p w:rsidR="007D5EDD" w:rsidRDefault="007D5EDD" w:rsidP="007D5EDD">
      <w:pPr>
        <w:pStyle w:val="ListParagraph"/>
        <w:numPr>
          <w:ilvl w:val="0"/>
          <w:numId w:val="4"/>
        </w:numPr>
        <w:spacing w:after="0"/>
        <w:rPr>
          <w:rFonts w:eastAsiaTheme="minorEastAsia"/>
          <w:sz w:val="20"/>
          <w:szCs w:val="20"/>
        </w:rPr>
      </w:pPr>
      <w:r>
        <w:rPr>
          <w:sz w:val="20"/>
          <w:szCs w:val="20"/>
        </w:rPr>
        <w:t xml:space="preserve">A person required to obtain consumer consent pursuant to 9 V.S.A. </w:t>
      </w:r>
      <w:r w:rsidRPr="007D5EDD">
        <w:rPr>
          <w:sz w:val="20"/>
          <w:szCs w:val="20"/>
        </w:rPr>
        <w:t xml:space="preserve"> </w:t>
      </w:r>
      <m:oMath>
        <m:r>
          <m:rPr>
            <m:sty m:val="p"/>
          </m:rPr>
          <w:rPr>
            <w:rFonts w:ascii="Cambria Math" w:hAnsi="Cambria Math"/>
            <w:sz w:val="20"/>
            <w:szCs w:val="20"/>
          </w:rPr>
          <m:t>§</m:t>
        </m:r>
      </m:oMath>
      <w:r w:rsidRPr="007D5EDD">
        <w:rPr>
          <w:sz w:val="20"/>
          <w:szCs w:val="20"/>
        </w:rPr>
        <w:t xml:space="preserve"> </w:t>
      </w:r>
      <m:oMath>
        <m:r>
          <m:rPr>
            <m:sty m:val="p"/>
          </m:rPr>
          <w:rPr>
            <w:rFonts w:ascii="Cambria Math" w:hAnsi="Cambria Math"/>
            <w:sz w:val="20"/>
            <w:szCs w:val="20"/>
          </w:rPr>
          <m:t>§</m:t>
        </m:r>
      </m:oMath>
      <w:r>
        <w:rPr>
          <w:rFonts w:eastAsiaTheme="minorEastAsia"/>
          <w:sz w:val="20"/>
          <w:szCs w:val="20"/>
        </w:rPr>
        <w:t xml:space="preserve">  </w:t>
      </w:r>
      <w:r w:rsidR="00465EA0">
        <w:rPr>
          <w:rFonts w:eastAsiaTheme="minorEastAsia"/>
          <w:sz w:val="20"/>
          <w:szCs w:val="20"/>
        </w:rPr>
        <w:t>2480e and</w:t>
      </w:r>
      <w:r w:rsidR="00465EA0">
        <w:rPr>
          <w:rFonts w:eastAsiaTheme="minorEastAsia"/>
          <w:sz w:val="20"/>
          <w:szCs w:val="20"/>
        </w:rPr>
        <w:t xml:space="preserve"> </w:t>
      </w:r>
      <w:r>
        <w:rPr>
          <w:rFonts w:eastAsiaTheme="minorEastAsia"/>
          <w:sz w:val="20"/>
          <w:szCs w:val="20"/>
        </w:rPr>
        <w:t>2480g shall obtain said consent in writing if the consumer has made a written application or w</w:t>
      </w:r>
      <w:r w:rsidR="0070359B">
        <w:rPr>
          <w:rFonts w:eastAsiaTheme="minorEastAsia"/>
          <w:sz w:val="20"/>
          <w:szCs w:val="20"/>
        </w:rPr>
        <w:t>ritt</w:t>
      </w:r>
      <w:r>
        <w:rPr>
          <w:rFonts w:eastAsiaTheme="minorEastAsia"/>
          <w:sz w:val="20"/>
          <w:szCs w:val="20"/>
        </w:rPr>
        <w:t>en request for credit, insurance, employment, housing, or governmental benefit</w:t>
      </w:r>
      <w:r w:rsidR="00465EA0">
        <w:rPr>
          <w:rFonts w:eastAsiaTheme="minorEastAsia"/>
          <w:sz w:val="20"/>
          <w:szCs w:val="20"/>
        </w:rPr>
        <w:t>. If the consumer has applied for or requested credit, insurance, employment, housing or governmental benefit</w:t>
      </w:r>
      <w:bookmarkStart w:id="0" w:name="_GoBack"/>
      <w:bookmarkEnd w:id="0"/>
      <w:r>
        <w:rPr>
          <w:rFonts w:eastAsiaTheme="minorEastAsia"/>
          <w:sz w:val="20"/>
          <w:szCs w:val="20"/>
        </w:rPr>
        <w:t xml:space="preserve"> in a manner other than in writing, then the person required to obtain consumer consent pursuant to 9 V.S.A. </w:t>
      </w:r>
      <w:r w:rsidRPr="007D5EDD">
        <w:rPr>
          <w:sz w:val="20"/>
          <w:szCs w:val="20"/>
        </w:rPr>
        <w:t xml:space="preserve"> </w:t>
      </w:r>
      <m:oMath>
        <m:r>
          <m:rPr>
            <m:sty m:val="p"/>
          </m:rPr>
          <w:rPr>
            <w:rFonts w:ascii="Cambria Math" w:hAnsi="Cambria Math"/>
            <w:sz w:val="20"/>
            <w:szCs w:val="20"/>
          </w:rPr>
          <m:t>§</m:t>
        </m:r>
      </m:oMath>
      <w:r w:rsidRPr="007D5EDD">
        <w:rPr>
          <w:sz w:val="20"/>
          <w:szCs w:val="20"/>
        </w:rPr>
        <w:t xml:space="preserve"> </w:t>
      </w:r>
      <m:oMath>
        <m:r>
          <m:rPr>
            <m:sty m:val="p"/>
          </m:rPr>
          <w:rPr>
            <w:rFonts w:ascii="Cambria Math" w:hAnsi="Cambria Math"/>
            <w:sz w:val="20"/>
            <w:szCs w:val="20"/>
          </w:rPr>
          <m:t>§</m:t>
        </m:r>
      </m:oMath>
      <w:r>
        <w:rPr>
          <w:rFonts w:eastAsiaTheme="minorEastAsia"/>
          <w:sz w:val="20"/>
          <w:szCs w:val="20"/>
        </w:rPr>
        <w:t xml:space="preserve">  2480e and 2480g shall obtain said consent in writing or in the same manner in which the consumer made the application or request.  The terms of this rule apply whether the consumer or the person required to obtain consumer consent initiates the transaction.</w:t>
      </w:r>
    </w:p>
    <w:p w:rsidR="007D5EDD" w:rsidRDefault="007D5EDD" w:rsidP="007D5EDD">
      <w:pPr>
        <w:spacing w:after="0"/>
        <w:rPr>
          <w:rFonts w:eastAsiaTheme="minorEastAsia"/>
          <w:sz w:val="20"/>
          <w:szCs w:val="20"/>
        </w:rPr>
      </w:pPr>
    </w:p>
    <w:p w:rsidR="007D5EDD" w:rsidRDefault="007D5EDD" w:rsidP="007D5EDD">
      <w:pPr>
        <w:pStyle w:val="ListParagraph"/>
        <w:numPr>
          <w:ilvl w:val="0"/>
          <w:numId w:val="4"/>
        </w:numPr>
        <w:spacing w:after="0"/>
        <w:rPr>
          <w:rFonts w:eastAsiaTheme="minorEastAsia"/>
          <w:sz w:val="20"/>
          <w:szCs w:val="20"/>
        </w:rPr>
      </w:pPr>
      <w:r>
        <w:rPr>
          <w:rFonts w:eastAsiaTheme="minorEastAsia"/>
          <w:sz w:val="20"/>
          <w:szCs w:val="20"/>
        </w:rPr>
        <w:t xml:space="preserve">Consumer consent required pursuant to 9 V.S.A. </w:t>
      </w:r>
      <m:oMath>
        <m:r>
          <m:rPr>
            <m:sty m:val="p"/>
          </m:rPr>
          <w:rPr>
            <w:rFonts w:ascii="Cambria Math" w:hAnsi="Cambria Math"/>
            <w:sz w:val="20"/>
            <w:szCs w:val="20"/>
          </w:rPr>
          <m:t>§</m:t>
        </m:r>
      </m:oMath>
      <w:r w:rsidRPr="007D5EDD">
        <w:rPr>
          <w:sz w:val="20"/>
          <w:szCs w:val="20"/>
        </w:rPr>
        <w:t xml:space="preserve"> </w:t>
      </w:r>
      <m:oMath>
        <m:r>
          <m:rPr>
            <m:sty m:val="p"/>
          </m:rPr>
          <w:rPr>
            <w:rFonts w:ascii="Cambria Math" w:hAnsi="Cambria Math"/>
            <w:sz w:val="20"/>
            <w:szCs w:val="20"/>
          </w:rPr>
          <m:t>§</m:t>
        </m:r>
      </m:oMath>
      <w:r>
        <w:rPr>
          <w:rFonts w:eastAsiaTheme="minorEastAsia"/>
          <w:sz w:val="20"/>
          <w:szCs w:val="20"/>
        </w:rPr>
        <w:t xml:space="preserve">  2480e and 2480g shall be deemed to have been obtained in writing if, after a clear and adequate written disclosure of the circumstances under which a credit report or credit reports may be obtained and the purposes for which the credit report or credit reports may be obtained, the consumer indicates his or her consent by providing his or her signature.</w:t>
      </w:r>
    </w:p>
    <w:p w:rsidR="007D5EDD" w:rsidRPr="007D5EDD" w:rsidRDefault="007D5EDD" w:rsidP="007D5EDD">
      <w:pPr>
        <w:pStyle w:val="ListParagraph"/>
        <w:rPr>
          <w:rFonts w:eastAsiaTheme="minorEastAsia"/>
          <w:sz w:val="20"/>
          <w:szCs w:val="20"/>
        </w:rPr>
      </w:pPr>
    </w:p>
    <w:p w:rsidR="007D5EDD" w:rsidRPr="007D5EDD" w:rsidRDefault="007D5EDD" w:rsidP="007D5EDD">
      <w:pPr>
        <w:pStyle w:val="ListParagraph"/>
        <w:numPr>
          <w:ilvl w:val="0"/>
          <w:numId w:val="4"/>
        </w:numPr>
        <w:spacing w:after="0"/>
        <w:rPr>
          <w:rFonts w:eastAsiaTheme="minorEastAsia"/>
          <w:sz w:val="20"/>
          <w:szCs w:val="20"/>
        </w:rPr>
      </w:pPr>
      <w:r>
        <w:rPr>
          <w:rFonts w:eastAsiaTheme="minorEastAsia"/>
          <w:sz w:val="20"/>
          <w:szCs w:val="20"/>
        </w:rPr>
        <w:t>The fact that a clear and adequate written consent form is signed b</w:t>
      </w:r>
      <w:r w:rsidR="0070359B">
        <w:rPr>
          <w:rFonts w:eastAsiaTheme="minorEastAsia"/>
          <w:sz w:val="20"/>
          <w:szCs w:val="20"/>
        </w:rPr>
        <w:t>y the consumer after the consume</w:t>
      </w:r>
      <w:r>
        <w:rPr>
          <w:rFonts w:eastAsiaTheme="minorEastAsia"/>
          <w:sz w:val="20"/>
          <w:szCs w:val="20"/>
        </w:rPr>
        <w:t xml:space="preserve">r’s credit report has been obtained pursuant to </w:t>
      </w:r>
      <w:r w:rsidR="0070359B">
        <w:rPr>
          <w:rFonts w:eastAsiaTheme="minorEastAsia"/>
          <w:sz w:val="20"/>
          <w:szCs w:val="20"/>
        </w:rPr>
        <w:t>some</w:t>
      </w:r>
      <w:r>
        <w:rPr>
          <w:rFonts w:eastAsiaTheme="minorEastAsia"/>
          <w:sz w:val="20"/>
          <w:szCs w:val="20"/>
        </w:rPr>
        <w:t xml:space="preserve"> other form of conse</w:t>
      </w:r>
      <w:r w:rsidR="0070359B">
        <w:rPr>
          <w:rFonts w:eastAsiaTheme="minorEastAsia"/>
          <w:sz w:val="20"/>
          <w:szCs w:val="20"/>
        </w:rPr>
        <w:t>nt shall not affect the validity of the earlier consent.</w:t>
      </w:r>
    </w:p>
    <w:sectPr w:rsidR="007D5EDD" w:rsidRPr="007D5EDD" w:rsidSect="0070359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A08EA"/>
    <w:multiLevelType w:val="multilevel"/>
    <w:tmpl w:val="0409001D"/>
    <w:numStyleLink w:val="Style1"/>
  </w:abstractNum>
  <w:abstractNum w:abstractNumId="1">
    <w:nsid w:val="142D3167"/>
    <w:multiLevelType w:val="multilevel"/>
    <w:tmpl w:val="0409001D"/>
    <w:numStyleLink w:val="Style1"/>
  </w:abstractNum>
  <w:abstractNum w:abstractNumId="2">
    <w:nsid w:val="27866A85"/>
    <w:multiLevelType w:val="hybridMultilevel"/>
    <w:tmpl w:val="53F44A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F646DC"/>
    <w:multiLevelType w:val="multilevel"/>
    <w:tmpl w:val="0409001D"/>
    <w:styleLink w:val="Style1"/>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D40"/>
    <w:rsid w:val="00465EA0"/>
    <w:rsid w:val="0070359B"/>
    <w:rsid w:val="007D3C8F"/>
    <w:rsid w:val="007D5EDD"/>
    <w:rsid w:val="007E3D40"/>
    <w:rsid w:val="0089403E"/>
    <w:rsid w:val="00AC3639"/>
    <w:rsid w:val="00B81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1E266-4C98-4FBF-ADAB-E419027D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3D40"/>
    <w:rPr>
      <w:color w:val="808080"/>
    </w:rPr>
  </w:style>
  <w:style w:type="numbering" w:customStyle="1" w:styleId="Style1">
    <w:name w:val="Style1"/>
    <w:uiPriority w:val="99"/>
    <w:rsid w:val="007E3D40"/>
    <w:pPr>
      <w:numPr>
        <w:numId w:val="1"/>
      </w:numPr>
    </w:pPr>
  </w:style>
  <w:style w:type="paragraph" w:styleId="ListParagraph">
    <w:name w:val="List Paragraph"/>
    <w:basedOn w:val="Normal"/>
    <w:uiPriority w:val="34"/>
    <w:qFormat/>
    <w:rsid w:val="007E3D40"/>
    <w:pPr>
      <w:ind w:left="720"/>
      <w:contextualSpacing/>
    </w:pPr>
  </w:style>
  <w:style w:type="paragraph" w:styleId="BalloonText">
    <w:name w:val="Balloon Text"/>
    <w:basedOn w:val="Normal"/>
    <w:link w:val="BalloonTextChar"/>
    <w:uiPriority w:val="99"/>
    <w:semiHidden/>
    <w:unhideWhenUsed/>
    <w:rsid w:val="00AC3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6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CBBE6-F995-4C9D-95A4-4C75A3B7B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Berry</dc:creator>
  <cp:keywords/>
  <dc:description/>
  <cp:lastModifiedBy>J Atkins</cp:lastModifiedBy>
  <cp:revision>4</cp:revision>
  <cp:lastPrinted>2014-11-19T21:50:00Z</cp:lastPrinted>
  <dcterms:created xsi:type="dcterms:W3CDTF">2014-11-19T21:50:00Z</dcterms:created>
  <dcterms:modified xsi:type="dcterms:W3CDTF">2014-11-19T22:05:00Z</dcterms:modified>
</cp:coreProperties>
</file>